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1555" w:tblpY="2688"/>
        <w:tblOverlap w:val="never"/>
        <w:tblW w:w="13459" w:type="dxa"/>
        <w:tblInd w:w="0" w:type="dxa"/>
        <w:shd w:val="clear" w:color="auto" w:fill="auto"/>
        <w:tblLayout w:type="fixed"/>
        <w:tblCellMar>
          <w:top w:w="0" w:type="dxa"/>
          <w:left w:w="0" w:type="dxa"/>
          <w:bottom w:w="0" w:type="dxa"/>
          <w:right w:w="0" w:type="dxa"/>
        </w:tblCellMar>
      </w:tblPr>
      <w:tblGrid>
        <w:gridCol w:w="615"/>
        <w:gridCol w:w="8470"/>
        <w:gridCol w:w="1170"/>
        <w:gridCol w:w="1080"/>
        <w:gridCol w:w="2124"/>
      </w:tblGrid>
      <w:tr>
        <w:tblPrEx>
          <w:shd w:val="clear" w:color="auto" w:fill="auto"/>
          <w:tblCellMar>
            <w:top w:w="0" w:type="dxa"/>
            <w:left w:w="0" w:type="dxa"/>
            <w:bottom w:w="0" w:type="dxa"/>
            <w:right w:w="0" w:type="dxa"/>
          </w:tblCellMar>
        </w:tblPrEx>
        <w:trPr>
          <w:trHeight w:val="272" w:hRule="atLeast"/>
          <w:tblHead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8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项目负责人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资助类型</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部门</w:t>
            </w:r>
          </w:p>
        </w:tc>
      </w:tr>
      <w:tr>
        <w:tblPrEx>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sz w:val="24"/>
                <w:szCs w:val="24"/>
                <w:u w:val="none"/>
              </w:rPr>
            </w:pPr>
            <w:r>
              <w:rPr>
                <w:rFonts w:hint="eastAsia" w:ascii="宋体" w:hAnsi="宋体" w:eastAsia="宋体" w:cs="宋体"/>
                <w:caps w:val="0"/>
                <w:spacing w:val="0"/>
                <w:kern w:val="0"/>
                <w:sz w:val="24"/>
                <w:szCs w:val="24"/>
                <w:lang w:val="en-US" w:eastAsia="zh-CN" w:bidi="ar"/>
              </w:rPr>
              <w:t>1</w:t>
            </w:r>
          </w:p>
        </w:tc>
        <w:tc>
          <w:tcPr>
            <w:tcW w:w="8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caps w:val="0"/>
                <w:spacing w:val="0"/>
                <w:kern w:val="0"/>
                <w:sz w:val="24"/>
                <w:szCs w:val="24"/>
                <w:lang w:val="en-US" w:eastAsia="zh-CN" w:bidi="ar"/>
              </w:rPr>
              <w:t>中小银行发展的资源配置效应及其对城市生产效率的影响研究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caps w:val="0"/>
                <w:spacing w:val="0"/>
                <w:kern w:val="0"/>
                <w:sz w:val="24"/>
                <w:szCs w:val="24"/>
                <w:lang w:val="en-US" w:eastAsia="zh-CN" w:bidi="ar"/>
              </w:rPr>
              <w:t>王文春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caps w:val="0"/>
                <w:spacing w:val="0"/>
                <w:kern w:val="0"/>
                <w:sz w:val="24"/>
                <w:szCs w:val="24"/>
                <w:lang w:val="en-US" w:eastAsia="zh-CN" w:bidi="ar"/>
              </w:rPr>
              <w:t>重点</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金融学院</w:t>
            </w:r>
          </w:p>
        </w:tc>
      </w:tr>
      <w:tr>
        <w:tblPrEx>
          <w:shd w:val="clear" w:color="auto" w:fill="auto"/>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aps w:val="0"/>
                <w:spacing w:val="0"/>
                <w:kern w:val="0"/>
                <w:sz w:val="24"/>
                <w:szCs w:val="24"/>
                <w:lang w:val="en-US" w:eastAsia="zh-CN" w:bidi="ar"/>
              </w:rPr>
              <w:t>2</w:t>
            </w:r>
          </w:p>
        </w:tc>
        <w:tc>
          <w:tcPr>
            <w:tcW w:w="8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caps w:val="0"/>
                <w:spacing w:val="0"/>
                <w:kern w:val="0"/>
                <w:sz w:val="24"/>
                <w:szCs w:val="24"/>
                <w:lang w:val="en-US" w:eastAsia="zh-CN" w:bidi="ar"/>
              </w:rPr>
              <w:t>基于机器学习技术的商业银行小微客户违约风险预测模型研究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caps w:val="0"/>
                <w:spacing w:val="0"/>
                <w:kern w:val="0"/>
                <w:sz w:val="24"/>
                <w:szCs w:val="24"/>
                <w:lang w:val="en-US" w:eastAsia="zh-CN" w:bidi="ar"/>
              </w:rPr>
              <w:t>倪禾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caps w:val="0"/>
                <w:spacing w:val="0"/>
                <w:kern w:val="0"/>
                <w:sz w:val="24"/>
                <w:szCs w:val="24"/>
                <w:lang w:val="en-US" w:eastAsia="zh-CN" w:bidi="ar"/>
              </w:rPr>
              <w:t>重点</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国际商学院</w:t>
            </w:r>
          </w:p>
        </w:tc>
      </w:tr>
      <w:tr>
        <w:tblPrEx>
          <w:shd w:val="clear" w:color="auto" w:fill="auto"/>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aps w:val="0"/>
                <w:spacing w:val="0"/>
                <w:kern w:val="0"/>
                <w:sz w:val="24"/>
                <w:szCs w:val="24"/>
                <w:lang w:val="en-US" w:eastAsia="zh-CN" w:bidi="ar"/>
              </w:rPr>
              <w:t>3</w:t>
            </w:r>
          </w:p>
        </w:tc>
        <w:tc>
          <w:tcPr>
            <w:tcW w:w="8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caps w:val="0"/>
                <w:spacing w:val="0"/>
                <w:kern w:val="0"/>
                <w:sz w:val="24"/>
                <w:szCs w:val="24"/>
                <w:lang w:val="en-US" w:eastAsia="zh-CN" w:bidi="ar"/>
              </w:rPr>
              <w:t>基于transformer模型的商业银行小微客户违约风险预测研究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caps w:val="0"/>
                <w:spacing w:val="0"/>
                <w:kern w:val="0"/>
                <w:sz w:val="24"/>
                <w:szCs w:val="24"/>
                <w:lang w:val="en-US" w:eastAsia="zh-CN" w:bidi="ar"/>
              </w:rPr>
              <w:t>李义超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caps w:val="0"/>
                <w:spacing w:val="0"/>
                <w:kern w:val="0"/>
                <w:sz w:val="24"/>
                <w:szCs w:val="24"/>
                <w:lang w:val="en-US" w:eastAsia="zh-CN" w:bidi="ar"/>
              </w:rPr>
              <w:t>重点</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金融学院</w:t>
            </w:r>
          </w:p>
        </w:tc>
      </w:tr>
      <w:tr>
        <w:tblPrEx>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aps w:val="0"/>
                <w:spacing w:val="0"/>
                <w:kern w:val="0"/>
                <w:sz w:val="24"/>
                <w:szCs w:val="24"/>
                <w:lang w:val="en-US" w:eastAsia="zh-CN" w:bidi="ar"/>
              </w:rPr>
              <w:t>4</w:t>
            </w:r>
          </w:p>
        </w:tc>
        <w:tc>
          <w:tcPr>
            <w:tcW w:w="8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caps w:val="0"/>
                <w:spacing w:val="0"/>
                <w:kern w:val="0"/>
                <w:sz w:val="24"/>
                <w:szCs w:val="24"/>
                <w:lang w:val="en-US" w:eastAsia="zh-CN" w:bidi="ar"/>
              </w:rPr>
              <w:t>数字金融对中小企业技术创新的驱动作用研究—基于双重金融摩擦治理的视角</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caps w:val="0"/>
                <w:spacing w:val="0"/>
                <w:kern w:val="0"/>
                <w:sz w:val="24"/>
                <w:szCs w:val="24"/>
                <w:lang w:val="en-US" w:eastAsia="zh-CN" w:bidi="ar"/>
              </w:rPr>
              <w:t>史小坤</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caps w:val="0"/>
                <w:spacing w:val="0"/>
                <w:kern w:val="0"/>
                <w:sz w:val="24"/>
                <w:szCs w:val="24"/>
                <w:lang w:val="en-US" w:eastAsia="zh-CN" w:bidi="ar"/>
              </w:rPr>
              <w:t>重点</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金融学院</w:t>
            </w:r>
          </w:p>
        </w:tc>
      </w:tr>
      <w:tr>
        <w:tblPrEx>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aps w:val="0"/>
                <w:spacing w:val="0"/>
                <w:kern w:val="0"/>
                <w:sz w:val="24"/>
                <w:szCs w:val="24"/>
                <w:lang w:val="en-US" w:eastAsia="zh-CN" w:bidi="ar"/>
              </w:rPr>
              <w:t>5</w:t>
            </w:r>
          </w:p>
        </w:tc>
        <w:tc>
          <w:tcPr>
            <w:tcW w:w="8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caps w:val="0"/>
                <w:spacing w:val="0"/>
                <w:kern w:val="0"/>
                <w:sz w:val="24"/>
                <w:szCs w:val="24"/>
                <w:lang w:val="en-US" w:eastAsia="zh-CN" w:bidi="ar"/>
              </w:rPr>
              <w:t>大数据背景下商业银行小微客户违约风险量化研究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caps w:val="0"/>
                <w:spacing w:val="0"/>
                <w:kern w:val="0"/>
                <w:sz w:val="24"/>
                <w:szCs w:val="24"/>
                <w:lang w:val="en-US" w:eastAsia="zh-CN" w:bidi="ar"/>
              </w:rPr>
              <w:t>林祥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caps w:val="0"/>
                <w:spacing w:val="0"/>
                <w:kern w:val="0"/>
                <w:sz w:val="24"/>
                <w:szCs w:val="24"/>
                <w:lang w:val="en-US" w:eastAsia="zh-CN" w:bidi="ar"/>
              </w:rPr>
              <w:t>重点</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金融学院</w:t>
            </w:r>
          </w:p>
        </w:tc>
      </w:tr>
      <w:tr>
        <w:tblPrEx>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aps w:val="0"/>
                <w:spacing w:val="0"/>
                <w:kern w:val="0"/>
                <w:sz w:val="24"/>
                <w:szCs w:val="24"/>
                <w:lang w:val="en-US" w:eastAsia="zh-CN" w:bidi="ar"/>
              </w:rPr>
              <w:t>6</w:t>
            </w:r>
          </w:p>
        </w:tc>
        <w:tc>
          <w:tcPr>
            <w:tcW w:w="8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caps w:val="0"/>
                <w:spacing w:val="0"/>
                <w:kern w:val="0"/>
                <w:sz w:val="24"/>
                <w:szCs w:val="24"/>
                <w:lang w:val="en-US" w:eastAsia="zh-CN" w:bidi="ar"/>
              </w:rPr>
              <w:t>基于动态FCGE模型的支农再贷款政策效应研究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caps w:val="0"/>
                <w:spacing w:val="0"/>
                <w:kern w:val="0"/>
                <w:sz w:val="24"/>
                <w:szCs w:val="24"/>
                <w:lang w:val="en-US" w:eastAsia="zh-CN" w:bidi="ar"/>
              </w:rPr>
              <w:t>栾天虹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caps w:val="0"/>
                <w:spacing w:val="0"/>
                <w:kern w:val="0"/>
                <w:sz w:val="24"/>
                <w:szCs w:val="24"/>
                <w:lang w:val="en-US" w:eastAsia="zh-CN" w:bidi="ar"/>
              </w:rPr>
              <w:t>一般</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金融学院</w:t>
            </w:r>
          </w:p>
        </w:tc>
      </w:tr>
      <w:tr>
        <w:tblPrEx>
          <w:shd w:val="clear" w:color="auto" w:fill="auto"/>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sz w:val="24"/>
                <w:szCs w:val="24"/>
                <w:u w:val="none"/>
                <w:lang w:val="en-US"/>
              </w:rPr>
            </w:pPr>
            <w:r>
              <w:rPr>
                <w:rFonts w:hint="eastAsia" w:ascii="宋体" w:hAnsi="宋体" w:eastAsia="宋体" w:cs="宋体"/>
                <w:caps w:val="0"/>
                <w:spacing w:val="0"/>
                <w:kern w:val="0"/>
                <w:sz w:val="24"/>
                <w:szCs w:val="24"/>
                <w:lang w:val="en-US" w:eastAsia="zh-CN" w:bidi="ar"/>
              </w:rPr>
              <w:t>7</w:t>
            </w:r>
          </w:p>
        </w:tc>
        <w:tc>
          <w:tcPr>
            <w:tcW w:w="8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sz w:val="24"/>
                <w:szCs w:val="24"/>
                <w:u w:val="none"/>
              </w:rPr>
            </w:pPr>
            <w:r>
              <w:rPr>
                <w:rFonts w:hint="eastAsia" w:ascii="宋体" w:hAnsi="宋体" w:eastAsia="宋体" w:cs="宋体"/>
                <w:caps w:val="0"/>
                <w:spacing w:val="0"/>
                <w:kern w:val="0"/>
                <w:sz w:val="24"/>
                <w:szCs w:val="24"/>
                <w:lang w:val="en-US" w:eastAsia="zh-CN" w:bidi="ar"/>
              </w:rPr>
              <w:t>数字普惠金融发展与人力资本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sz w:val="24"/>
                <w:szCs w:val="24"/>
                <w:u w:val="none"/>
              </w:rPr>
            </w:pPr>
            <w:r>
              <w:rPr>
                <w:rFonts w:hint="eastAsia" w:ascii="宋体" w:hAnsi="宋体" w:eastAsia="宋体" w:cs="宋体"/>
                <w:caps w:val="0"/>
                <w:spacing w:val="0"/>
                <w:kern w:val="0"/>
                <w:sz w:val="24"/>
                <w:szCs w:val="24"/>
                <w:lang w:val="en-US" w:eastAsia="zh-CN" w:bidi="ar"/>
              </w:rPr>
              <w:t>马丹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caps w:val="0"/>
                <w:spacing w:val="0"/>
                <w:kern w:val="0"/>
                <w:sz w:val="24"/>
                <w:szCs w:val="24"/>
                <w:lang w:val="en-US" w:eastAsia="zh-CN" w:bidi="ar"/>
              </w:rPr>
              <w:t>一般</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泰隆金融学院</w:t>
            </w:r>
          </w:p>
        </w:tc>
      </w:tr>
      <w:tr>
        <w:tblPrEx>
          <w:shd w:val="clear" w:color="auto" w:fill="auto"/>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caps w:val="0"/>
                <w:spacing w:val="0"/>
                <w:kern w:val="0"/>
                <w:sz w:val="24"/>
                <w:szCs w:val="24"/>
                <w:lang w:val="en-US" w:eastAsia="zh-CN" w:bidi="ar"/>
              </w:rPr>
              <w:t>8</w:t>
            </w:r>
          </w:p>
        </w:tc>
        <w:tc>
          <w:tcPr>
            <w:tcW w:w="8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sz w:val="24"/>
                <w:szCs w:val="24"/>
                <w:u w:val="none"/>
              </w:rPr>
            </w:pPr>
            <w:r>
              <w:rPr>
                <w:rFonts w:hint="eastAsia" w:ascii="宋体" w:hAnsi="宋体" w:eastAsia="宋体" w:cs="宋体"/>
                <w:caps w:val="0"/>
                <w:spacing w:val="0"/>
                <w:kern w:val="0"/>
                <w:sz w:val="24"/>
                <w:szCs w:val="24"/>
                <w:lang w:val="en-US" w:eastAsia="zh-CN" w:bidi="ar"/>
              </w:rPr>
              <w:t>媒体情绪视角下金融科技影响家庭金融资产选择的机理和效应研究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sz w:val="24"/>
                <w:szCs w:val="24"/>
                <w:u w:val="none"/>
              </w:rPr>
            </w:pPr>
            <w:r>
              <w:rPr>
                <w:rFonts w:hint="eastAsia" w:ascii="宋体" w:hAnsi="宋体" w:eastAsia="宋体" w:cs="宋体"/>
                <w:caps w:val="0"/>
                <w:spacing w:val="0"/>
                <w:kern w:val="0"/>
                <w:sz w:val="24"/>
                <w:szCs w:val="24"/>
                <w:lang w:val="en-US" w:eastAsia="zh-CN" w:bidi="ar"/>
              </w:rPr>
              <w:t>傅利福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caps w:val="0"/>
                <w:spacing w:val="0"/>
                <w:kern w:val="0"/>
                <w:sz w:val="24"/>
                <w:szCs w:val="24"/>
                <w:lang w:val="en-US" w:eastAsia="zh-CN" w:bidi="ar"/>
              </w:rPr>
              <w:t>一般</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金融学院</w:t>
            </w:r>
          </w:p>
        </w:tc>
      </w:tr>
      <w:tr>
        <w:tblPrEx>
          <w:shd w:val="clear" w:color="auto" w:fill="auto"/>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sz w:val="24"/>
                <w:szCs w:val="24"/>
                <w:u w:val="none"/>
              </w:rPr>
            </w:pPr>
            <w:r>
              <w:rPr>
                <w:rFonts w:hint="eastAsia" w:ascii="宋体" w:hAnsi="宋体" w:eastAsia="宋体" w:cs="宋体"/>
                <w:caps w:val="0"/>
                <w:spacing w:val="0"/>
                <w:kern w:val="0"/>
                <w:sz w:val="24"/>
                <w:szCs w:val="24"/>
                <w:lang w:val="en-US" w:eastAsia="zh-CN" w:bidi="ar"/>
              </w:rPr>
              <w:t>9</w:t>
            </w:r>
          </w:p>
        </w:tc>
        <w:tc>
          <w:tcPr>
            <w:tcW w:w="8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sz w:val="24"/>
                <w:szCs w:val="24"/>
                <w:u w:val="none"/>
              </w:rPr>
            </w:pPr>
            <w:r>
              <w:rPr>
                <w:rFonts w:hint="eastAsia" w:ascii="宋体" w:hAnsi="宋体" w:eastAsia="宋体" w:cs="宋体"/>
                <w:caps w:val="0"/>
                <w:spacing w:val="0"/>
                <w:kern w:val="0"/>
                <w:sz w:val="24"/>
                <w:szCs w:val="24"/>
                <w:lang w:val="en-US" w:eastAsia="zh-CN" w:bidi="ar"/>
              </w:rPr>
              <w:t>普惠金融创新驱动乡村产业振兴的博弈演化机理、耦合测度和实现路径研究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sz w:val="24"/>
                <w:szCs w:val="24"/>
                <w:u w:val="none"/>
              </w:rPr>
            </w:pPr>
            <w:r>
              <w:rPr>
                <w:rFonts w:hint="eastAsia" w:ascii="宋体" w:hAnsi="宋体" w:eastAsia="宋体" w:cs="宋体"/>
                <w:caps w:val="0"/>
                <w:spacing w:val="0"/>
                <w:kern w:val="0"/>
                <w:sz w:val="24"/>
                <w:szCs w:val="24"/>
                <w:lang w:val="en-US" w:eastAsia="zh-CN" w:bidi="ar"/>
              </w:rPr>
              <w:t>钱艺平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caps w:val="0"/>
                <w:spacing w:val="0"/>
                <w:kern w:val="0"/>
                <w:sz w:val="24"/>
                <w:szCs w:val="24"/>
                <w:lang w:val="en-US" w:eastAsia="zh-CN" w:bidi="ar"/>
              </w:rPr>
              <w:t>一般</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金融学院</w:t>
            </w:r>
          </w:p>
        </w:tc>
      </w:tr>
      <w:tr>
        <w:tblPrEx>
          <w:shd w:val="clear" w:color="auto" w:fill="auto"/>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sz w:val="24"/>
                <w:szCs w:val="24"/>
                <w:u w:val="none"/>
              </w:rPr>
            </w:pPr>
            <w:r>
              <w:rPr>
                <w:rFonts w:hint="eastAsia" w:ascii="宋体" w:hAnsi="宋体" w:eastAsia="宋体" w:cs="宋体"/>
                <w:caps w:val="0"/>
                <w:spacing w:val="0"/>
                <w:kern w:val="0"/>
                <w:sz w:val="24"/>
                <w:szCs w:val="24"/>
                <w:lang w:val="en-US" w:eastAsia="zh-CN" w:bidi="ar"/>
              </w:rPr>
              <w:t>10</w:t>
            </w:r>
          </w:p>
        </w:tc>
        <w:tc>
          <w:tcPr>
            <w:tcW w:w="8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sz w:val="24"/>
                <w:szCs w:val="24"/>
                <w:u w:val="none"/>
              </w:rPr>
            </w:pPr>
            <w:r>
              <w:rPr>
                <w:rFonts w:hint="eastAsia" w:ascii="宋体" w:hAnsi="宋体" w:eastAsia="宋体" w:cs="宋体"/>
                <w:caps w:val="0"/>
                <w:spacing w:val="0"/>
                <w:kern w:val="0"/>
                <w:sz w:val="24"/>
                <w:szCs w:val="24"/>
                <w:lang w:val="en-US" w:eastAsia="zh-CN" w:bidi="ar"/>
              </w:rPr>
              <w:t>数字普惠金融发展影响家庭资产配置效率的效应与机制研究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sz w:val="24"/>
                <w:szCs w:val="24"/>
                <w:u w:val="none"/>
              </w:rPr>
            </w:pPr>
            <w:r>
              <w:rPr>
                <w:rFonts w:hint="eastAsia" w:ascii="宋体" w:hAnsi="宋体" w:eastAsia="宋体" w:cs="宋体"/>
                <w:caps w:val="0"/>
                <w:spacing w:val="0"/>
                <w:kern w:val="0"/>
                <w:sz w:val="24"/>
                <w:szCs w:val="24"/>
                <w:lang w:val="en-US" w:eastAsia="zh-CN" w:bidi="ar"/>
              </w:rPr>
              <w:t>韦宏耀</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caps w:val="0"/>
                <w:spacing w:val="0"/>
                <w:kern w:val="0"/>
                <w:sz w:val="24"/>
                <w:szCs w:val="24"/>
                <w:lang w:val="en-US" w:eastAsia="zh-CN" w:bidi="ar"/>
              </w:rPr>
              <w:t>一般</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金融学院</w:t>
            </w:r>
          </w:p>
        </w:tc>
      </w:tr>
      <w:tr>
        <w:tblPrEx>
          <w:shd w:val="clear" w:color="auto" w:fill="auto"/>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sz w:val="24"/>
                <w:szCs w:val="24"/>
                <w:u w:val="none"/>
              </w:rPr>
            </w:pPr>
            <w:r>
              <w:rPr>
                <w:rFonts w:hint="eastAsia" w:ascii="宋体" w:hAnsi="宋体" w:eastAsia="宋体" w:cs="宋体"/>
                <w:caps w:val="0"/>
                <w:spacing w:val="0"/>
                <w:kern w:val="0"/>
                <w:sz w:val="24"/>
                <w:szCs w:val="24"/>
                <w:lang w:val="en-US" w:eastAsia="zh-CN" w:bidi="ar"/>
              </w:rPr>
              <w:t>11</w:t>
            </w:r>
          </w:p>
        </w:tc>
        <w:tc>
          <w:tcPr>
            <w:tcW w:w="8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sz w:val="24"/>
                <w:szCs w:val="24"/>
                <w:u w:val="none"/>
              </w:rPr>
            </w:pPr>
            <w:r>
              <w:rPr>
                <w:rFonts w:hint="eastAsia" w:ascii="宋体" w:hAnsi="宋体" w:eastAsia="宋体" w:cs="宋体"/>
                <w:caps w:val="0"/>
                <w:spacing w:val="0"/>
                <w:kern w:val="0"/>
                <w:sz w:val="24"/>
                <w:szCs w:val="24"/>
                <w:lang w:val="en-US" w:eastAsia="zh-CN" w:bidi="ar"/>
              </w:rPr>
              <w:t>金融科技助推商业银行拓展增值服务的理论机理与实证研究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sz w:val="24"/>
                <w:szCs w:val="24"/>
                <w:u w:val="none"/>
              </w:rPr>
            </w:pPr>
            <w:r>
              <w:rPr>
                <w:rFonts w:hint="eastAsia" w:ascii="宋体" w:hAnsi="宋体" w:eastAsia="宋体" w:cs="宋体"/>
                <w:caps w:val="0"/>
                <w:spacing w:val="0"/>
                <w:kern w:val="0"/>
                <w:sz w:val="24"/>
                <w:szCs w:val="24"/>
                <w:lang w:val="en-US" w:eastAsia="zh-CN" w:bidi="ar"/>
              </w:rPr>
              <w:t>赵宸宇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caps w:val="0"/>
                <w:spacing w:val="0"/>
                <w:kern w:val="0"/>
                <w:sz w:val="24"/>
                <w:szCs w:val="24"/>
                <w:lang w:val="en-US" w:eastAsia="zh-CN" w:bidi="ar"/>
              </w:rPr>
              <w:t>一般</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金融学院</w:t>
            </w:r>
          </w:p>
        </w:tc>
      </w:tr>
      <w:tr>
        <w:tblPrEx>
          <w:shd w:val="clear" w:color="auto" w:fill="auto"/>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sz w:val="24"/>
                <w:szCs w:val="24"/>
                <w:u w:val="none"/>
              </w:rPr>
            </w:pPr>
            <w:r>
              <w:rPr>
                <w:rFonts w:hint="eastAsia" w:ascii="宋体" w:hAnsi="宋体" w:eastAsia="宋体" w:cs="宋体"/>
                <w:caps w:val="0"/>
                <w:spacing w:val="0"/>
                <w:kern w:val="0"/>
                <w:sz w:val="24"/>
                <w:szCs w:val="24"/>
                <w:lang w:val="en-US" w:eastAsia="zh-CN" w:bidi="ar"/>
              </w:rPr>
              <w:t>12</w:t>
            </w:r>
          </w:p>
        </w:tc>
        <w:tc>
          <w:tcPr>
            <w:tcW w:w="8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sz w:val="24"/>
                <w:szCs w:val="24"/>
                <w:u w:val="none"/>
              </w:rPr>
            </w:pPr>
            <w:r>
              <w:rPr>
                <w:rFonts w:hint="eastAsia" w:ascii="宋体" w:hAnsi="宋体" w:eastAsia="宋体" w:cs="宋体"/>
                <w:caps w:val="0"/>
                <w:spacing w:val="0"/>
                <w:kern w:val="0"/>
                <w:sz w:val="24"/>
                <w:szCs w:val="24"/>
                <w:lang w:val="en-US" w:eastAsia="zh-CN" w:bidi="ar"/>
              </w:rPr>
              <w:t>基于相对风险分担的农村融资问题研究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sz w:val="24"/>
                <w:szCs w:val="24"/>
                <w:u w:val="none"/>
              </w:rPr>
            </w:pPr>
            <w:r>
              <w:rPr>
                <w:rFonts w:hint="eastAsia" w:ascii="宋体" w:hAnsi="宋体" w:eastAsia="宋体" w:cs="宋体"/>
                <w:caps w:val="0"/>
                <w:spacing w:val="0"/>
                <w:kern w:val="0"/>
                <w:sz w:val="24"/>
                <w:szCs w:val="24"/>
                <w:lang w:val="en-US" w:eastAsia="zh-CN" w:bidi="ar"/>
              </w:rPr>
              <w:t>陈志娟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caps w:val="0"/>
                <w:spacing w:val="0"/>
                <w:kern w:val="0"/>
                <w:sz w:val="24"/>
                <w:szCs w:val="24"/>
                <w:lang w:val="en-US" w:eastAsia="zh-CN" w:bidi="ar"/>
              </w:rPr>
              <w:t>一般</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金融学院</w:t>
            </w:r>
          </w:p>
        </w:tc>
      </w:tr>
      <w:tr>
        <w:tblPrEx>
          <w:shd w:val="clear" w:color="auto" w:fill="auto"/>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sz w:val="24"/>
                <w:szCs w:val="24"/>
                <w:u w:val="none"/>
              </w:rPr>
            </w:pPr>
            <w:r>
              <w:rPr>
                <w:rFonts w:hint="eastAsia" w:ascii="宋体" w:hAnsi="宋体" w:eastAsia="宋体" w:cs="宋体"/>
                <w:caps w:val="0"/>
                <w:spacing w:val="0"/>
                <w:kern w:val="0"/>
                <w:sz w:val="24"/>
                <w:szCs w:val="24"/>
                <w:lang w:val="en-US" w:eastAsia="zh-CN" w:bidi="ar"/>
              </w:rPr>
              <w:t>13</w:t>
            </w:r>
          </w:p>
        </w:tc>
        <w:tc>
          <w:tcPr>
            <w:tcW w:w="8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sz w:val="24"/>
                <w:szCs w:val="24"/>
                <w:u w:val="none"/>
              </w:rPr>
            </w:pPr>
            <w:r>
              <w:rPr>
                <w:rFonts w:hint="eastAsia" w:ascii="宋体" w:hAnsi="宋体" w:eastAsia="宋体" w:cs="宋体"/>
                <w:caps w:val="0"/>
                <w:spacing w:val="0"/>
                <w:kern w:val="0"/>
                <w:sz w:val="24"/>
                <w:szCs w:val="24"/>
                <w:lang w:val="en-US" w:eastAsia="zh-CN" w:bidi="ar"/>
              </w:rPr>
              <w:t>经济决策权分配对家庭金融健康的影响机制分析：以应急资金储备管理为例</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sz w:val="24"/>
                <w:szCs w:val="24"/>
                <w:u w:val="none"/>
              </w:rPr>
            </w:pPr>
            <w:r>
              <w:rPr>
                <w:rFonts w:hint="eastAsia" w:ascii="宋体" w:hAnsi="宋体" w:eastAsia="宋体" w:cs="宋体"/>
                <w:caps w:val="0"/>
                <w:spacing w:val="0"/>
                <w:kern w:val="0"/>
                <w:sz w:val="24"/>
                <w:szCs w:val="24"/>
                <w:lang w:val="en-US" w:eastAsia="zh-CN" w:bidi="ar"/>
              </w:rPr>
              <w:t>姚浙莹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caps w:val="0"/>
                <w:spacing w:val="0"/>
                <w:kern w:val="0"/>
                <w:sz w:val="24"/>
                <w:szCs w:val="24"/>
                <w:lang w:val="en-US" w:eastAsia="zh-CN" w:bidi="ar"/>
              </w:rPr>
              <w:t>一般</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金融学院</w:t>
            </w:r>
          </w:p>
        </w:tc>
      </w:tr>
      <w:tr>
        <w:tblPrEx>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sz w:val="24"/>
                <w:szCs w:val="24"/>
                <w:u w:val="none"/>
              </w:rPr>
            </w:pPr>
            <w:r>
              <w:rPr>
                <w:rFonts w:hint="eastAsia" w:ascii="宋体" w:hAnsi="宋体" w:eastAsia="宋体" w:cs="宋体"/>
                <w:caps w:val="0"/>
                <w:spacing w:val="0"/>
                <w:kern w:val="0"/>
                <w:sz w:val="24"/>
                <w:szCs w:val="24"/>
                <w:lang w:val="en-US" w:eastAsia="zh-CN" w:bidi="ar"/>
              </w:rPr>
              <w:t>14</w:t>
            </w:r>
          </w:p>
        </w:tc>
        <w:tc>
          <w:tcPr>
            <w:tcW w:w="8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sz w:val="24"/>
                <w:szCs w:val="24"/>
                <w:u w:val="none"/>
              </w:rPr>
            </w:pPr>
            <w:r>
              <w:rPr>
                <w:rFonts w:hint="eastAsia" w:ascii="宋体" w:hAnsi="宋体" w:eastAsia="宋体" w:cs="宋体"/>
                <w:caps w:val="0"/>
                <w:spacing w:val="0"/>
                <w:kern w:val="0"/>
                <w:sz w:val="24"/>
                <w:szCs w:val="24"/>
                <w:lang w:val="en-US" w:eastAsia="zh-CN" w:bidi="ar"/>
              </w:rPr>
              <w:t>数字化时代普惠金融对社会保障的影响研究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sz w:val="24"/>
                <w:szCs w:val="24"/>
                <w:u w:val="none"/>
              </w:rPr>
            </w:pPr>
            <w:r>
              <w:rPr>
                <w:rFonts w:hint="eastAsia" w:ascii="宋体" w:hAnsi="宋体" w:eastAsia="宋体" w:cs="宋体"/>
                <w:caps w:val="0"/>
                <w:spacing w:val="0"/>
                <w:kern w:val="0"/>
                <w:sz w:val="24"/>
                <w:szCs w:val="24"/>
                <w:lang w:val="en-US" w:eastAsia="zh-CN" w:bidi="ar"/>
              </w:rPr>
              <w:t>杨弋</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caps w:val="0"/>
                <w:spacing w:val="0"/>
                <w:kern w:val="0"/>
                <w:sz w:val="24"/>
                <w:szCs w:val="24"/>
                <w:lang w:val="en-US" w:eastAsia="zh-CN" w:bidi="ar"/>
              </w:rPr>
              <w:t>一般</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泰隆金融学院</w:t>
            </w:r>
          </w:p>
        </w:tc>
      </w:tr>
      <w:tr>
        <w:tblPrEx>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sz w:val="24"/>
                <w:szCs w:val="24"/>
                <w:u w:val="none"/>
              </w:rPr>
            </w:pPr>
            <w:r>
              <w:rPr>
                <w:rFonts w:hint="eastAsia" w:ascii="宋体" w:hAnsi="宋体" w:eastAsia="宋体" w:cs="宋体"/>
                <w:caps w:val="0"/>
                <w:spacing w:val="0"/>
                <w:kern w:val="0"/>
                <w:sz w:val="24"/>
                <w:szCs w:val="24"/>
                <w:lang w:val="en-US" w:eastAsia="zh-CN" w:bidi="ar"/>
              </w:rPr>
              <w:t>15</w:t>
            </w:r>
          </w:p>
        </w:tc>
        <w:tc>
          <w:tcPr>
            <w:tcW w:w="8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sz w:val="24"/>
                <w:szCs w:val="24"/>
                <w:u w:val="none"/>
              </w:rPr>
            </w:pPr>
            <w:r>
              <w:rPr>
                <w:rFonts w:hint="eastAsia" w:ascii="宋体" w:hAnsi="宋体" w:eastAsia="宋体" w:cs="宋体"/>
                <w:caps w:val="0"/>
                <w:spacing w:val="0"/>
                <w:kern w:val="0"/>
                <w:sz w:val="24"/>
                <w:szCs w:val="24"/>
                <w:lang w:val="en-US" w:eastAsia="zh-CN" w:bidi="ar"/>
              </w:rPr>
              <w:t>基于机器学习技术的智能投顾服务在商业银行小微客户方向上的应用研究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sz w:val="24"/>
                <w:szCs w:val="24"/>
                <w:u w:val="none"/>
              </w:rPr>
            </w:pPr>
            <w:r>
              <w:rPr>
                <w:rFonts w:hint="eastAsia" w:ascii="宋体" w:hAnsi="宋体" w:eastAsia="宋体" w:cs="宋体"/>
                <w:caps w:val="0"/>
                <w:spacing w:val="0"/>
                <w:kern w:val="0"/>
                <w:sz w:val="24"/>
                <w:szCs w:val="24"/>
                <w:lang w:val="en-US" w:eastAsia="zh-CN" w:bidi="ar"/>
              </w:rPr>
              <w:t>李剑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caps w:val="0"/>
                <w:spacing w:val="0"/>
                <w:kern w:val="0"/>
                <w:sz w:val="24"/>
                <w:szCs w:val="24"/>
                <w:lang w:val="en-US" w:eastAsia="zh-CN" w:bidi="ar"/>
              </w:rPr>
              <w:t>一般</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国际商学院</w:t>
            </w:r>
          </w:p>
        </w:tc>
      </w:tr>
      <w:tr>
        <w:tblPrEx>
          <w:shd w:val="clear" w:color="auto" w:fill="auto"/>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sz w:val="24"/>
                <w:szCs w:val="24"/>
                <w:u w:val="none"/>
              </w:rPr>
            </w:pPr>
            <w:r>
              <w:rPr>
                <w:rFonts w:hint="eastAsia" w:ascii="宋体" w:hAnsi="宋体" w:eastAsia="宋体" w:cs="宋体"/>
                <w:caps w:val="0"/>
                <w:spacing w:val="0"/>
                <w:kern w:val="0"/>
                <w:sz w:val="24"/>
                <w:szCs w:val="24"/>
                <w:lang w:val="en-US" w:eastAsia="zh-CN" w:bidi="ar"/>
              </w:rPr>
              <w:t>16</w:t>
            </w:r>
          </w:p>
        </w:tc>
        <w:tc>
          <w:tcPr>
            <w:tcW w:w="8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sz w:val="24"/>
                <w:szCs w:val="24"/>
                <w:u w:val="none"/>
              </w:rPr>
            </w:pPr>
            <w:r>
              <w:rPr>
                <w:rFonts w:hint="eastAsia" w:ascii="宋体" w:hAnsi="宋体" w:eastAsia="宋体" w:cs="宋体"/>
                <w:caps w:val="0"/>
                <w:spacing w:val="0"/>
                <w:kern w:val="0"/>
                <w:sz w:val="24"/>
                <w:szCs w:val="24"/>
                <w:lang w:val="en-US" w:eastAsia="zh-CN" w:bidi="ar"/>
              </w:rPr>
              <w:t>乡村振兴背景下普惠金融产品创新助力精准脱贫研究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sz w:val="24"/>
                <w:szCs w:val="24"/>
                <w:u w:val="none"/>
              </w:rPr>
            </w:pPr>
            <w:r>
              <w:rPr>
                <w:rFonts w:hint="eastAsia" w:ascii="宋体" w:hAnsi="宋体" w:eastAsia="宋体" w:cs="宋体"/>
                <w:caps w:val="0"/>
                <w:spacing w:val="0"/>
                <w:kern w:val="0"/>
                <w:sz w:val="24"/>
                <w:szCs w:val="24"/>
                <w:lang w:val="en-US" w:eastAsia="zh-CN" w:bidi="ar"/>
              </w:rPr>
              <w:t>吴迪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caps w:val="0"/>
                <w:spacing w:val="0"/>
                <w:kern w:val="0"/>
                <w:sz w:val="24"/>
                <w:szCs w:val="24"/>
                <w:lang w:val="en-US" w:eastAsia="zh-CN" w:bidi="ar"/>
              </w:rPr>
              <w:t>一般</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国际商学院</w:t>
            </w:r>
          </w:p>
        </w:tc>
      </w:tr>
      <w:tr>
        <w:tblPrEx>
          <w:tblCellMar>
            <w:top w:w="0" w:type="dxa"/>
            <w:left w:w="0" w:type="dxa"/>
            <w:bottom w:w="0" w:type="dxa"/>
            <w:right w:w="0"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sz w:val="24"/>
                <w:szCs w:val="24"/>
                <w:u w:val="none"/>
              </w:rPr>
            </w:pPr>
            <w:r>
              <w:rPr>
                <w:rFonts w:hint="eastAsia" w:ascii="宋体" w:hAnsi="宋体" w:eastAsia="宋体" w:cs="宋体"/>
                <w:caps w:val="0"/>
                <w:spacing w:val="0"/>
                <w:kern w:val="0"/>
                <w:sz w:val="24"/>
                <w:szCs w:val="24"/>
                <w:lang w:val="en-US" w:eastAsia="zh-CN" w:bidi="ar"/>
              </w:rPr>
              <w:t>17</w:t>
            </w:r>
          </w:p>
        </w:tc>
        <w:tc>
          <w:tcPr>
            <w:tcW w:w="8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sz w:val="24"/>
                <w:szCs w:val="24"/>
                <w:u w:val="none"/>
              </w:rPr>
            </w:pPr>
            <w:r>
              <w:rPr>
                <w:rFonts w:hint="eastAsia" w:ascii="宋体" w:hAnsi="宋体" w:eastAsia="宋体" w:cs="宋体"/>
                <w:caps w:val="0"/>
                <w:spacing w:val="0"/>
                <w:kern w:val="0"/>
                <w:sz w:val="24"/>
                <w:szCs w:val="24"/>
                <w:lang w:val="en-US" w:eastAsia="zh-CN" w:bidi="ar"/>
              </w:rPr>
              <w:t>社会抵押与小微信贷系统性风险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sz w:val="24"/>
                <w:szCs w:val="24"/>
                <w:u w:val="none"/>
              </w:rPr>
            </w:pPr>
            <w:r>
              <w:rPr>
                <w:rFonts w:hint="eastAsia" w:ascii="宋体" w:hAnsi="宋体" w:eastAsia="宋体" w:cs="宋体"/>
                <w:caps w:val="0"/>
                <w:spacing w:val="0"/>
                <w:kern w:val="0"/>
                <w:sz w:val="24"/>
                <w:szCs w:val="24"/>
                <w:lang w:val="en-US" w:eastAsia="zh-CN" w:bidi="ar"/>
              </w:rPr>
              <w:t>王伟佳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caps w:val="0"/>
                <w:spacing w:val="0"/>
                <w:kern w:val="0"/>
                <w:sz w:val="24"/>
                <w:szCs w:val="24"/>
                <w:lang w:val="en-US" w:eastAsia="zh-CN" w:bidi="ar"/>
              </w:rPr>
              <w:t>一般</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泰隆金融学院</w:t>
            </w:r>
          </w:p>
        </w:tc>
      </w:tr>
    </w:tbl>
    <w:p>
      <w:pPr>
        <w:tabs>
          <w:tab w:val="left" w:pos="420"/>
        </w:tabs>
        <w:jc w:val="center"/>
        <w:rPr>
          <w:rFonts w:hint="default" w:eastAsiaTheme="minorEastAsia"/>
          <w:b/>
          <w:bCs/>
          <w:sz w:val="36"/>
          <w:szCs w:val="44"/>
          <w:lang w:val="en-US" w:eastAsia="zh-CN"/>
        </w:rPr>
      </w:pPr>
      <w:r>
        <w:rPr>
          <w:rFonts w:hint="eastAsia"/>
          <w:b/>
          <w:bCs/>
          <w:sz w:val="36"/>
          <w:szCs w:val="44"/>
          <w:lang w:val="en-US" w:eastAsia="zh-CN"/>
        </w:rPr>
        <w:t>泰隆金融学院2020年课题立项公示</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80980"/>
    <w:rsid w:val="21980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2020-11-25T09:36:00Z</dcterms:created>
  <dc:creator>雪后初晴</dc:creator>
  <cp:lastModifiedBy>雪后初晴</cp:lastModifiedBy>
  <cp:lastPrinted>2020-11-25T10:21:00Z</cp:lastPrinted>
  <dcterms:modified xsi:type="dcterms:W3CDTF">2020-11-25T10:26:53Z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